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695"/>
        <w:gridCol w:w="743"/>
        <w:gridCol w:w="6967"/>
      </w:tblGrid>
      <w:tr w14:paraId="524D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820" w:type="dxa"/>
            <w:tcBorders>
              <w:top w:val="nil"/>
              <w:left w:val="nil"/>
              <w:bottom w:val="nil"/>
              <w:right w:val="nil"/>
            </w:tcBorders>
            <w:shd w:val="clear" w:color="auto" w:fill="auto"/>
            <w:noWrap/>
            <w:vAlign w:val="center"/>
          </w:tcPr>
          <w:p w14:paraId="7B686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14:paraId="02E76DAA">
            <w:pPr>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附件3</w:t>
            </w:r>
          </w:p>
        </w:tc>
        <w:tc>
          <w:tcPr>
            <w:tcW w:w="743" w:type="dxa"/>
            <w:tcBorders>
              <w:top w:val="nil"/>
              <w:left w:val="nil"/>
              <w:bottom w:val="nil"/>
              <w:right w:val="nil"/>
            </w:tcBorders>
            <w:shd w:val="clear" w:color="auto" w:fill="auto"/>
            <w:noWrap/>
            <w:vAlign w:val="center"/>
          </w:tcPr>
          <w:p w14:paraId="2AE6CD41">
            <w:pPr>
              <w:jc w:val="center"/>
              <w:rPr>
                <w:rFonts w:hint="eastAsia" w:ascii="宋体" w:hAnsi="宋体" w:eastAsia="宋体" w:cs="宋体"/>
                <w:i w:val="0"/>
                <w:iCs w:val="0"/>
                <w:color w:val="000000"/>
                <w:sz w:val="22"/>
                <w:szCs w:val="22"/>
                <w:u w:val="none"/>
              </w:rPr>
            </w:pPr>
          </w:p>
        </w:tc>
        <w:tc>
          <w:tcPr>
            <w:tcW w:w="6967" w:type="dxa"/>
            <w:tcBorders>
              <w:top w:val="nil"/>
              <w:left w:val="nil"/>
              <w:bottom w:val="nil"/>
              <w:right w:val="nil"/>
            </w:tcBorders>
            <w:shd w:val="clear" w:color="auto" w:fill="auto"/>
            <w:noWrap/>
            <w:vAlign w:val="center"/>
          </w:tcPr>
          <w:p w14:paraId="77FC881B">
            <w:pPr>
              <w:rPr>
                <w:rFonts w:hint="eastAsia" w:ascii="宋体" w:hAnsi="宋体" w:eastAsia="宋体" w:cs="宋体"/>
                <w:i w:val="0"/>
                <w:iCs w:val="0"/>
                <w:color w:val="000000"/>
                <w:sz w:val="22"/>
                <w:szCs w:val="22"/>
                <w:u w:val="none"/>
              </w:rPr>
            </w:pPr>
          </w:p>
        </w:tc>
      </w:tr>
      <w:tr w14:paraId="1D0A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0225" w:type="dxa"/>
            <w:gridSpan w:val="4"/>
            <w:tcBorders>
              <w:top w:val="nil"/>
              <w:left w:val="nil"/>
              <w:bottom w:val="nil"/>
              <w:right w:val="nil"/>
            </w:tcBorders>
            <w:shd w:val="clear" w:color="auto" w:fill="auto"/>
            <w:noWrap/>
            <w:vAlign w:val="center"/>
          </w:tcPr>
          <w:p w14:paraId="33261CF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设备技术参数及功能配置需求</w:t>
            </w:r>
          </w:p>
          <w:p w14:paraId="5FC5960B">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tc>
      </w:tr>
      <w:tr w14:paraId="1636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7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D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81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E81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技术参数及功能配置要求</w:t>
            </w:r>
          </w:p>
          <w:p w14:paraId="764215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FF0000"/>
                <w:kern w:val="0"/>
                <w:sz w:val="20"/>
                <w:szCs w:val="20"/>
                <w:u w:val="none"/>
                <w:lang w:val="en-US" w:eastAsia="zh-CN" w:bidi="ar"/>
              </w:rPr>
              <w:t>（参数仅是市场调研初步意向参数，各厂商或代理商可针对全部货物或单一货物提供具体响应数值以及参数的修改意见）</w:t>
            </w:r>
          </w:p>
        </w:tc>
      </w:tr>
      <w:tr w14:paraId="71A5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吞咽神经肌肉低频电刺激仪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1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1.具备恒流、恒压两种电疗输出模式，恒流输出模式下，用于吞咽部固定式电极片治疗；恒压输出模式下，用于手持活动电极治疗。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2.双通道输出，固定模式及移动电极模式模式可同时独立使用，每通道可独立设置治疗参数，同时治疗两位患者。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3.输出强度：0mA～80mA或0V～80V范围内可调，步长0.5mA或0.5V。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4.脉冲频率：20Hz～100Hz可调，步长1Hz。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5.脉冲宽度：100μs～400μs可调，步长10μs。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6.脉冲波形为双向对称波，正负脉冲间隔为100μs。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7.脉冲的上升时间和下降时间：1s～10s可调，步长1s。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8.脉冲的维持时间：1s～55s可调，步长1s。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9.脉冲的断电时间：3s～75s可调，步长1s。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10.治疗时间1~99min可调，步长1min。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11.具备蝶形固定电极、单球移动电极、双球移动电极、板状移动电极、口腔内棉签电极、口腔内单点球状电极和口腔内两点球状电极共七种电极治疗方式。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12.可进行口腔内及口腔外电刺激，通过不同的电极可固定点刺激及不固定式刺激，配备多种刺激电极。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13.固定电极具备三种治疗模式：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(1)简单操作模式，一键开启治疗，只需调节强度及时间，操作简便；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(2)专家模式更多参数可调（脉宽、频率、上升时间、下降时间、维持时间、断电时间等），可供科研使用，同时也可根据患者情况制定个性化方案使用；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(3)功能性训练模式，配合手控器及显示动图，通过视觉反馈配合电刺激的方法进行摄食训练，可促进患者吞咽功能恢复。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14.内置电极放置图示，方便使用。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15.电刺激手柄供治疗师操作，可按治疗需求控制电流输出的持续时间，通过手柄上的按键掌控刺激时间。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16.触屏+一键飞梭，操作简便多样化，一键飞梭旋钮，360°无死角精准调控，还有自动锁定功能，防止误碰。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17.开路报警提示，过电保护确保治疗安全。</w:t>
            </w:r>
          </w:p>
        </w:tc>
      </w:tr>
      <w:tr w14:paraId="7F8D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4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液压式踏步器</w:t>
            </w:r>
          </w:p>
          <w:p w14:paraId="335E3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sz w:val="22"/>
                <w:szCs w:val="22"/>
                <w:lang w:val="en-US" w:eastAsia="zh-CN"/>
              </w:rPr>
              <w:t>（带数显）</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B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1、规格:80X69X116cm，扶手杆宽50cm,扶手杆高95cm，额定负载135kg，油缸阻力12档可调，线速度位5cm/s，力值调节范围位:200~1500N。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2、质量:23.0Kg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3、材质:型钢。钢件表面喷塑。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4、阻力可调。</w:t>
            </w:r>
          </w:p>
        </w:tc>
      </w:tr>
      <w:tr w14:paraId="27EB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B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A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神经肌肉电刺激仪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E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B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1、输出波形：脉冲波形为双向不对称方波（矩形波），调制波为方波。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输出频率：治疗选择第Ⅰ档：输出脉冲频率为500Hz调制波频率为0.5Hz～5Hz。治疗选择第Ⅱ档：输出脉冲频率为0.5Hz～5Hz。允差为每档最高频率的±15%。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3、脉冲宽度和调制波脉宽：治疗选择第Ⅰ档：输出脉冲宽度为1ms，调制波脉宽为10ms。允差±30%。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治疗选择第Ⅱ档：输出脉冲宽度为10ms。允差±30%。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4、输出强度：仪器各路独立输出,在500Ω负载阻抗时,每路输出电流峰值Ip从0mA～100mA连续可调。最大输出值允差±30%。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5、定时时间：定时设置分为5min、10min、15min、20min、25min、30min六档，允许偏差±10%。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连续工作时间：仪器连续工作时间不少于4h。</w:t>
            </w:r>
          </w:p>
        </w:tc>
      </w:tr>
      <w:tr w14:paraId="31C2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8"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6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5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高频胸壁振荡排痰仪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1.供电电源： 100-240V~，50/60Hz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2.振动频率：≤13Hz，控制精度±15%，调节步长1Hz，长按可以连续调节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3.振动压力： 0-5kPa以内，1-10级可调，调节步长1级，长按可以连续调节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4.振动压力控制精度：输出值与设置值的误差不超过±0.2kPa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5.定时时间：1-60分钟可调，调节步长1分钟，长按可以连续调节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6.中文导航式操作指引，多参数显示及可调（频率、压力、时间等）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7.患者紧急停止保护：通过手持开关实现患者自主的紧急停止保护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8.背心设计： 全胸充气背心采用倒V式设计，在确保患者有效咳嗽、咳痰时，避免对胃脘部的振荡；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9.背心类型：背心式或胸带式气囊可选，耐用型或非耐用型可选，儿童型大中小号、标准型大中小号可选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10.背心内衬：具有可拆卸内衬设计，满足单人单用，避免交叉感染</w:t>
            </w:r>
          </w:p>
        </w:tc>
      </w:tr>
      <w:tr w14:paraId="6EE3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2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康复助行器</w:t>
            </w:r>
          </w:p>
          <w:p w14:paraId="46F2B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sz w:val="22"/>
                <w:szCs w:val="22"/>
                <w:lang w:val="en-US" w:eastAsia="zh-CN"/>
              </w:rPr>
              <w:t>（高度可调节）</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1、规格：60×45×77～95cm最大高度95cm.最小高度77cm，最大宽度48cm,最大长度53cm,折叠尺寸78*50*8cm，手柄套宽度10cm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3、高度可调</w:t>
            </w:r>
          </w:p>
        </w:tc>
      </w:tr>
      <w:tr w14:paraId="588D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B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手杖</w:t>
            </w:r>
          </w:p>
          <w:p w14:paraId="229A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（四点式、高度可调节）</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1、长度范围：72～95cm，手柄宽13cm, 支脚垫底部直径3cm，高度调节最低时，手杖高度调节范围：0～23cm.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2、质量：1.3kg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3、材质：型钢  喷塑</w:t>
            </w:r>
          </w:p>
        </w:tc>
      </w:tr>
      <w:tr w14:paraId="6573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D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中医定向透药仪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B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电源：～220V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2、载波频率：1250Hz～4000Hz,不同处方下对应不同的载波频率，允差±10%；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3、载波波形：导入模式下为非对称脉冲波，按摩模式下为对称脉冲波；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4、输出幅度：共99档可调，最大输出幅度为50V，允差±10%；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5、输出通道：至少双通道独立控制输出。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6、调幅度：25%、50%、75%、100%，允差±5%；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7、输出电流稳定度：不同负载下输出电流变化率应＜10%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8、连续工作时间：连续工作时间不小于4h；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9、定时时间：设定范围1min～60min，默认20min，步进值1min，允差±30s；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10、治疗处方功能：导入和按摩模式下分别对应不同处方组合的波形；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10、电极片加热性能：共13档可调，调节范围40℃～53℃，步进1℃，允差±3℃，电极片表面最高温度不超过60℃，大于60℃时保护装置切断热疗电源；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11、安全类型：Ⅰ类BF型应用部分。</w:t>
            </w:r>
          </w:p>
        </w:tc>
      </w:tr>
      <w:tr w14:paraId="7CAC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5"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E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短波紫外线治疗仪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E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1、额定输入功率：100VA。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2、使用电源：交流电压220V±22V，频率50Hz±1Hz。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3、外形尺寸（长宽高）：380×310×135mm，允差±5%。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4、操作显示：5英寸液晶屏，一键飞梭+按键。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5、紫外线发光类型：低压汞蒸气荧光灯和贴片式灯珠。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6、紫外线波长：254nm，允差±3nm。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7、体腔治疗头辐照度：3种。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直光导：22mW/cm²，允差±20%。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弯光导：12mW/cm²，允差±20%。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鼻光导：17mW/cm²，允差±20%。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8、体表治疗头辐照度：25mW/cm²，允差±20%。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9、定时时间：1～999秒，步进1s，允差±2%。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10、输出通道：双通道。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11、具有体腔照射器和体表照射器。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12、工作模式：体腔、体表模式。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13、体表照射器紫外辐照强度的均匀性小于±25%。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14、紫外辐照强度的稳定性小于5%。</w:t>
            </w:r>
          </w:p>
        </w:tc>
      </w:tr>
      <w:tr w14:paraId="4D32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A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红外偏振光治疗仪</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1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1、额定电压：AC220V。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3、额定输入功率：120VA。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4、规格尺寸：长510mm,宽440mm，高980mm，允差±10%。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5、外观形态：立式设备。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6、显示方式：数码管，指示灯。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7、操作方式：12个物理按键。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8、整机重量：36kg±2kg。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9、输出通道：双通道独立控制输出（一路点状+一路面状）。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10、输出波长：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点状偏振光波长：713nm～984nm，允差±5%。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面状红光波长：638nm，允差±5%。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11、偏振光连续输出：输出强度分8档可调，治疗仪辐射器最大输出功率1.5W，允差±10%。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13、定时时间：0min～99min可调，步进1min，允差±10%。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14、工作模式：连续模式，断续模式（3种）。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15、距点状辐射头1cm范围内，输出光斑直径≤2cm。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16、治疗仪配有钥匙开关，顺时针方向旋转90°，启动治疗仪。治疗仪配有紧急理疗终止器，当需要立即停止输出时，马上按下终止器按钮，就可终止光源输出。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17、偏振光导光系统材料采用石英光导特制组合光源。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18、配备万向脚轮并具有锁止功能。</w:t>
            </w:r>
          </w:p>
        </w:tc>
      </w:tr>
      <w:tr w14:paraId="2A43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9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便携式睡眠呼吸初筛仪</w:t>
            </w:r>
            <w:bookmarkStart w:id="0" w:name="_GoBack"/>
            <w:bookmarkEnd w:id="0"/>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1、通道数≧12通道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2、有包括压力、压力式气流、麦克风鼾声、RIP胸腹部运动、血氧饱和度SpO2、脉率、脉搏波、体动、体位、呼吸频率、事件标记、电池电量等参数。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3、主机记录盒小巧、轻便，体积≤70x25x60 mm，重量≤80 g，直接穿戴于手腕部或身体，穿戴轻巧简便。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4、主机具有OLED显示屏，可实时显示压力值、电池电量、血氧饱和度、脉率等信息；同时具有物理按钮，用于患者事件标记。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5、主机采用内置锂电池直流供电，且配备常规Type C接口，即可连接血氧指套又可为主机充电。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6、可连接任意品牌呼吸机进行全自动压力滴定功能，并在报告中显示压力值，同时还可分析患者呼吸频率BF相关数据，供临床数据分析。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7、主机内置麦克风录音功能，可检测环境声音，并解析出实际鼾声波形。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8、分析软件具有全中文操作界面，可生成全中文分析报告。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9、可对不同信号自定义设置高通滤波、低通滤波、工作频率，帮助临床滤除噪声干扰，获取更加准确的信号。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10、可自由定义患者报告，包括语言、样式、不同事件分析、趋势图组合等，方便临床进行睡眠相关事件分析。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11、支持国际通用的EDF格式，对于不同的分析软件具有更好的兼容性。</w:t>
            </w:r>
          </w:p>
        </w:tc>
      </w:tr>
    </w:tbl>
    <w:p w14:paraId="40DA3D1B"/>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26EFF"/>
    <w:rsid w:val="011B40E0"/>
    <w:rsid w:val="028F5C66"/>
    <w:rsid w:val="03656B6A"/>
    <w:rsid w:val="139A48DD"/>
    <w:rsid w:val="184E1421"/>
    <w:rsid w:val="1D9A22E1"/>
    <w:rsid w:val="1E3A1F37"/>
    <w:rsid w:val="22C14EA6"/>
    <w:rsid w:val="303643A5"/>
    <w:rsid w:val="319054E4"/>
    <w:rsid w:val="329D1E73"/>
    <w:rsid w:val="344A5811"/>
    <w:rsid w:val="4EA60738"/>
    <w:rsid w:val="50341942"/>
    <w:rsid w:val="652A34EE"/>
    <w:rsid w:val="71424904"/>
    <w:rsid w:val="74C9220B"/>
    <w:rsid w:val="78A26EFF"/>
    <w:rsid w:val="7ECA10AD"/>
    <w:rsid w:val="7F20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4</Pages>
  <Words>3088</Words>
  <Characters>3632</Characters>
  <Lines>0</Lines>
  <Paragraphs>0</Paragraphs>
  <TotalTime>0</TotalTime>
  <ScaleCrop>false</ScaleCrop>
  <LinksUpToDate>false</LinksUpToDate>
  <CharactersWithSpaces>6521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2025-08-21T13:24:00Z</dcterms:created>
  <dc:creator>陈洁</dc:creator>
  <cp:lastModifiedBy>陈洁</cp:lastModifiedBy>
  <dcterms:modified xsi:type="dcterms:W3CDTF">2025-08-22T14:06:23Z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60D1F94CE45347BA876EF8D587B48EBC_11</vt:lpwstr>
  </property>
  <property fmtid="{D5CDD505-2E9C-101B-9397-08002B2CF9AE}" pid="4" name="KSOTemplateDocerSaveRecord">
    <vt:lpwstr>eyJoZGlkIjoiMjQ5MmQ2YTdhNzllZWRhZmI4YWQ1YzhiNGZiODdmMmEiLCJ1c2VySWQiOiIyNDgzODAzODAifQ==</vt:lpwstr>
  </property>
</Properties>
</file>