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仿宋" w:hAnsi="仿宋" w:eastAsia="仿宋"/>
          <w:b/>
          <w:sz w:val="32"/>
          <w:szCs w:val="32"/>
        </w:rPr>
      </w:pPr>
      <w:bookmarkStart w:id="1" w:name="_GoBack"/>
      <w:bookmarkEnd w:id="1"/>
    </w:p>
    <w:p>
      <w:pPr>
        <w:widowControl/>
        <w:ind w:firstLine="2249" w:firstLineChars="700"/>
        <w:jc w:val="both"/>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pPr>
        <w:pBdr>
          <w:bottom w:val="single" w:color="auto" w:sz="4" w:space="1"/>
        </w:pBdr>
        <w:spacing w:before="312" w:beforeLines="100"/>
        <w:ind w:left="420" w:hanging="420"/>
        <w:rPr>
          <w:rFonts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概况</w:t>
      </w:r>
    </w:p>
    <w:p>
      <w:pPr>
        <w:ind w:firstLine="560" w:firstLineChars="200"/>
        <w:rPr>
          <w:rFonts w:hint="eastAsia"/>
          <w:sz w:val="28"/>
          <w:szCs w:val="28"/>
        </w:rPr>
      </w:pPr>
      <w:r>
        <w:rPr>
          <w:rFonts w:hint="eastAsia"/>
          <w:sz w:val="28"/>
          <w:szCs w:val="28"/>
        </w:rPr>
        <w:t>我院从20</w:t>
      </w:r>
      <w:r>
        <w:rPr>
          <w:rFonts w:hint="eastAsia"/>
          <w:sz w:val="28"/>
          <w:szCs w:val="28"/>
          <w:lang w:val="en-US" w:eastAsia="zh-CN"/>
        </w:rPr>
        <w:t>21</w:t>
      </w:r>
      <w:r>
        <w:rPr>
          <w:rFonts w:hint="eastAsia"/>
          <w:sz w:val="28"/>
          <w:szCs w:val="28"/>
        </w:rPr>
        <w:t>年一直在使用</w:t>
      </w:r>
      <w:r>
        <w:rPr>
          <w:rFonts w:hint="eastAsia"/>
          <w:sz w:val="28"/>
          <w:szCs w:val="28"/>
          <w:lang w:val="en-US" w:eastAsia="zh-CN"/>
        </w:rPr>
        <w:t>湖南省蓝蜻蜓网络科技有限</w:t>
      </w:r>
      <w:r>
        <w:rPr>
          <w:rFonts w:hint="eastAsia"/>
          <w:sz w:val="28"/>
          <w:szCs w:val="28"/>
        </w:rPr>
        <w:t>公司的</w:t>
      </w:r>
      <w:r>
        <w:rPr>
          <w:rFonts w:hint="eastAsia"/>
          <w:sz w:val="28"/>
          <w:szCs w:val="28"/>
          <w:lang w:val="en-US" w:eastAsia="zh-CN"/>
        </w:rPr>
        <w:t>蓝蜻蜓实时监控V7.0</w:t>
      </w:r>
      <w:r>
        <w:rPr>
          <w:rFonts w:hint="eastAsia"/>
          <w:sz w:val="28"/>
          <w:szCs w:val="28"/>
        </w:rPr>
        <w:t>管理系统多年来运行稳定，效益突出，为我院</w:t>
      </w:r>
      <w:r>
        <w:rPr>
          <w:rFonts w:hint="eastAsia"/>
          <w:sz w:val="28"/>
          <w:szCs w:val="28"/>
          <w:lang w:val="en-US" w:eastAsia="zh-CN"/>
        </w:rPr>
        <w:t>院感</w:t>
      </w:r>
      <w:r>
        <w:rPr>
          <w:rFonts w:hint="eastAsia"/>
          <w:sz w:val="28"/>
          <w:szCs w:val="28"/>
        </w:rPr>
        <w:t>服务做出了巨大的贡献。同时</w:t>
      </w:r>
      <w:r>
        <w:rPr>
          <w:rFonts w:hint="eastAsia"/>
          <w:sz w:val="28"/>
          <w:szCs w:val="28"/>
          <w:lang w:val="en-US" w:eastAsia="zh-CN"/>
        </w:rPr>
        <w:t>湖南省蓝蜻蜓网络科技有限公司</w:t>
      </w:r>
      <w:r>
        <w:rPr>
          <w:rFonts w:hint="eastAsia"/>
          <w:sz w:val="28"/>
          <w:szCs w:val="28"/>
        </w:rPr>
        <w:t>信息系统是国内</w:t>
      </w:r>
      <w:r>
        <w:rPr>
          <w:rFonts w:hint="eastAsia"/>
          <w:sz w:val="28"/>
          <w:szCs w:val="28"/>
          <w:lang w:val="en-US" w:eastAsia="zh-CN"/>
        </w:rPr>
        <w:t>软件系统</w:t>
      </w:r>
      <w:r>
        <w:rPr>
          <w:rFonts w:hint="eastAsia"/>
          <w:sz w:val="28"/>
          <w:szCs w:val="28"/>
        </w:rPr>
        <w:t>领域的领先品牌，经过多年来不断自我完善和突破，已经成为业内领先品牌。该公司自项目开始建设以来，对我院</w:t>
      </w:r>
      <w:r>
        <w:rPr>
          <w:rFonts w:hint="eastAsia"/>
          <w:sz w:val="28"/>
          <w:szCs w:val="28"/>
          <w:lang w:val="en-US" w:eastAsia="zh-CN"/>
        </w:rPr>
        <w:t>院感</w:t>
      </w:r>
      <w:r>
        <w:rPr>
          <w:rFonts w:hint="eastAsia"/>
          <w:sz w:val="28"/>
          <w:szCs w:val="28"/>
        </w:rPr>
        <w:t>要求做了大量的个性化需求和定制化开发，熟悉我院</w:t>
      </w:r>
      <w:r>
        <w:rPr>
          <w:rFonts w:hint="eastAsia"/>
          <w:sz w:val="28"/>
          <w:szCs w:val="28"/>
          <w:lang w:val="en-US" w:eastAsia="zh-CN"/>
        </w:rPr>
        <w:t>院感</w:t>
      </w:r>
      <w:r>
        <w:rPr>
          <w:rFonts w:hint="eastAsia"/>
          <w:sz w:val="28"/>
          <w:szCs w:val="28"/>
        </w:rPr>
        <w:t>实际情况，切实满足了</w:t>
      </w:r>
      <w:r>
        <w:rPr>
          <w:rFonts w:hint="eastAsia"/>
          <w:sz w:val="28"/>
          <w:szCs w:val="28"/>
          <w:lang w:val="en-US" w:eastAsia="zh-CN"/>
        </w:rPr>
        <w:t>院感</w:t>
      </w:r>
      <w:r>
        <w:rPr>
          <w:rFonts w:hint="eastAsia"/>
          <w:sz w:val="28"/>
          <w:szCs w:val="28"/>
        </w:rPr>
        <w:t>使用需求，在项目完成后，一直有负责我院移动护理信息系统的相关运维工作，系统升级、故障处理方面具有较为专业和丰富的经验。</w:t>
      </w:r>
    </w:p>
    <w:p>
      <w:pPr>
        <w:ind w:firstLine="560" w:firstLineChars="200"/>
        <w:rPr>
          <w:rFonts w:hint="eastAsia"/>
          <w:sz w:val="28"/>
          <w:szCs w:val="28"/>
        </w:rPr>
      </w:pPr>
      <w:r>
        <w:rPr>
          <w:rFonts w:hint="eastAsia"/>
          <w:sz w:val="28"/>
          <w:szCs w:val="28"/>
        </w:rPr>
        <w:t>一、“医院院感实时监控系统”的专业性及保密性质，因为医院“院感实时监控系统软件”的代码和知识产权归我公司所有，医院感控软件的功能增加和相关数据统计以及报表的调整都需要修改原程序源代码，这项软件代码修改工作只能由我公司的开发部门来完成，其他公司无法进入到软件程序里完成软件代码修改工作。</w:t>
      </w:r>
    </w:p>
    <w:p>
      <w:pPr>
        <w:ind w:firstLine="560" w:firstLineChars="200"/>
        <w:rPr>
          <w:rFonts w:hint="eastAsia"/>
          <w:sz w:val="28"/>
          <w:szCs w:val="28"/>
        </w:rPr>
      </w:pPr>
      <w:r>
        <w:rPr>
          <w:rFonts w:hint="eastAsia"/>
          <w:sz w:val="28"/>
          <w:szCs w:val="28"/>
        </w:rPr>
        <w:t>二、“医院院感实时监控系统”的特殊性及接口数据的独特性，“院感实时监控系统”它需要和医院现有的基础软件相互对接（如HIS、LIS、PACS、EMR、手术麻醉系统、移动护理系统等），通过基础软件数据的交换实现数据整合。这些基础软件的数据提取需要我们公司技术人员编写接口代码程序文件后，从基础软件公司提供的数据库视图和表结构里提取院感所需数据内容，这项工作是由我公司工程师独立完成，院感监控软件的接口服务程序需要修改或调整时也只能由我公司技术人员来修改，其他公司技术人员没有代码程序和修改权</w:t>
      </w:r>
    </w:p>
    <w:p>
      <w:pPr>
        <w:ind w:firstLine="560" w:firstLineChars="200"/>
        <w:rPr>
          <w:rFonts w:hint="eastAsia"/>
          <w:sz w:val="28"/>
          <w:szCs w:val="28"/>
        </w:rPr>
      </w:pPr>
      <w:r>
        <w:rPr>
          <w:rFonts w:hint="eastAsia"/>
          <w:sz w:val="28"/>
          <w:szCs w:val="28"/>
        </w:rPr>
        <w:t>限。同时我们能根据基础软件程序升级我公司随时调整接口数据的提取。保证医院院感实时监控系统的正常运行。</w:t>
      </w:r>
    </w:p>
    <w:p>
      <w:pPr>
        <w:ind w:firstLine="560" w:firstLineChars="200"/>
        <w:rPr>
          <w:rFonts w:hint="eastAsia"/>
          <w:sz w:val="28"/>
          <w:szCs w:val="28"/>
        </w:rPr>
      </w:pPr>
      <w:r>
        <w:rPr>
          <w:rFonts w:hint="eastAsia"/>
          <w:sz w:val="28"/>
          <w:szCs w:val="28"/>
        </w:rPr>
        <w:t>以上这些因素足以说明我公司是本次“医院院感实时监控系统”</w:t>
      </w:r>
      <w:r>
        <w:rPr>
          <w:rFonts w:hint="eastAsia"/>
          <w:sz w:val="28"/>
          <w:szCs w:val="28"/>
          <w:lang w:val="en-US" w:eastAsia="zh-CN"/>
        </w:rPr>
        <w:t>和传染病实时监控管理系统</w:t>
      </w:r>
      <w:r>
        <w:rPr>
          <w:rFonts w:hint="eastAsia"/>
          <w:sz w:val="28"/>
          <w:szCs w:val="28"/>
        </w:rPr>
        <w:t>唯一的售后服务供应商，公司全力保障“医院院感实时监控系统v7.0</w:t>
      </w:r>
      <w:r>
        <w:rPr>
          <w:rFonts w:hint="eastAsia"/>
          <w:sz w:val="28"/>
          <w:szCs w:val="28"/>
          <w:lang w:val="en-US" w:eastAsia="zh-CN"/>
        </w:rPr>
        <w:t>和传染病V3.0软件</w:t>
      </w:r>
      <w:r>
        <w:rPr>
          <w:rFonts w:hint="eastAsia"/>
          <w:sz w:val="28"/>
          <w:szCs w:val="28"/>
        </w:rPr>
        <w:t>”的正常运行。</w:t>
      </w: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pStyle w:val="2"/>
        <w:rPr>
          <w:rFonts w:hint="eastAsia"/>
          <w:sz w:val="30"/>
          <w:szCs w:val="30"/>
        </w:rPr>
      </w:pPr>
    </w:p>
    <w:p>
      <w:pPr>
        <w:pStyle w:val="2"/>
        <w:rPr>
          <w:rFonts w:hint="eastAsia"/>
          <w:sz w:val="30"/>
          <w:szCs w:val="30"/>
        </w:rPr>
      </w:pPr>
    </w:p>
    <w:p>
      <w:pPr>
        <w:pStyle w:val="2"/>
        <w:rPr>
          <w:rFonts w:hint="eastAsia"/>
          <w:sz w:val="30"/>
          <w:szCs w:val="30"/>
        </w:rPr>
      </w:pPr>
    </w:p>
    <w:p>
      <w:pPr>
        <w:pStyle w:val="2"/>
        <w:rPr>
          <w:rFonts w:hint="eastAsia"/>
          <w:sz w:val="30"/>
          <w:szCs w:val="30"/>
        </w:rPr>
      </w:pPr>
    </w:p>
    <w:p>
      <w:pPr>
        <w:rPr>
          <w:rFonts w:hint="eastAsia"/>
          <w:sz w:val="30"/>
          <w:szCs w:val="30"/>
        </w:rPr>
      </w:pPr>
    </w:p>
    <w:p>
      <w:pPr>
        <w:ind w:firstLine="560" w:firstLineChars="200"/>
        <w:rPr>
          <w:rFonts w:hint="eastAsia"/>
          <w:sz w:val="28"/>
          <w:szCs w:val="28"/>
        </w:rPr>
      </w:pPr>
      <w:r>
        <w:rPr>
          <w:rFonts w:hint="eastAsia"/>
          <w:sz w:val="28"/>
          <w:szCs w:val="28"/>
        </w:rPr>
        <w:t>本项目为</w:t>
      </w:r>
      <w:r>
        <w:rPr>
          <w:rFonts w:hint="eastAsia"/>
          <w:sz w:val="28"/>
          <w:szCs w:val="28"/>
          <w:lang w:val="en-US" w:eastAsia="zh-CN"/>
        </w:rPr>
        <w:t>蓝蜻蜓医院实时监控管理</w:t>
      </w:r>
      <w:r>
        <w:rPr>
          <w:rFonts w:hint="eastAsia"/>
          <w:sz w:val="28"/>
          <w:szCs w:val="28"/>
        </w:rPr>
        <w:t>系统</w:t>
      </w:r>
      <w:r>
        <w:rPr>
          <w:rFonts w:hint="eastAsia"/>
          <w:sz w:val="28"/>
          <w:szCs w:val="28"/>
          <w:lang w:val="en-US" w:eastAsia="zh-CN"/>
        </w:rPr>
        <w:t>V7.0系统</w:t>
      </w:r>
      <w:r>
        <w:rPr>
          <w:rFonts w:hint="eastAsia"/>
          <w:sz w:val="28"/>
          <w:szCs w:val="28"/>
        </w:rPr>
        <w:t>的维保项目申请，此项目将保障我院护理系统的正常运行。</w:t>
      </w:r>
    </w:p>
    <w:p>
      <w:pPr>
        <w:pBdr>
          <w:bottom w:val="single" w:color="auto" w:sz="4" w:space="1"/>
        </w:pBdr>
        <w:spacing w:before="312" w:beforeLines="100"/>
        <w:ind w:left="420" w:hanging="420"/>
        <w:rPr>
          <w:rFonts w:ascii="仿宋" w:hAnsi="仿宋" w:eastAsia="仿宋"/>
          <w:b/>
          <w:sz w:val="28"/>
          <w:szCs w:val="28"/>
        </w:rPr>
      </w:pPr>
      <w:bookmarkStart w:id="0" w:name="_Toc399862989"/>
      <w:r>
        <w:rPr>
          <w:rFonts w:hint="eastAsia" w:ascii="仿宋" w:hAnsi="仿宋" w:eastAsia="仿宋"/>
          <w:b/>
          <w:sz w:val="28"/>
          <w:szCs w:val="28"/>
        </w:rPr>
        <w:t>二、服务内容（包括工作区域、工作内容等）</w:t>
      </w:r>
    </w:p>
    <w:tbl>
      <w:tblPr>
        <w:tblStyle w:val="10"/>
        <w:tblW w:w="8600" w:type="dxa"/>
        <w:tblInd w:w="91" w:type="dxa"/>
        <w:tblLayout w:type="fixed"/>
        <w:tblCellMar>
          <w:top w:w="0" w:type="dxa"/>
          <w:left w:w="108" w:type="dxa"/>
          <w:bottom w:w="0" w:type="dxa"/>
          <w:right w:w="108" w:type="dxa"/>
        </w:tblCellMar>
      </w:tblPr>
      <w:tblGrid>
        <w:gridCol w:w="870"/>
        <w:gridCol w:w="7730"/>
      </w:tblGrid>
      <w:tr>
        <w:tblPrEx>
          <w:tblCellMar>
            <w:top w:w="0" w:type="dxa"/>
            <w:left w:w="108" w:type="dxa"/>
            <w:bottom w:w="0" w:type="dxa"/>
            <w:right w:w="108" w:type="dxa"/>
          </w:tblCellMar>
        </w:tblPrEx>
        <w:trPr>
          <w:trHeight w:val="480" w:hRule="atLeast"/>
        </w:trPr>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仿宋" w:hAnsi="仿宋" w:eastAsia="仿宋" w:cs="仿宋"/>
                <w:kern w:val="0"/>
                <w:sz w:val="28"/>
                <w:szCs w:val="28"/>
              </w:rPr>
            </w:pPr>
            <w:r>
              <w:rPr>
                <w:rFonts w:hint="eastAsia" w:ascii="仿宋" w:hAnsi="仿宋" w:eastAsia="仿宋" w:cs="仿宋"/>
                <w:kern w:val="0"/>
                <w:sz w:val="28"/>
                <w:szCs w:val="28"/>
              </w:rPr>
              <w:t>注册安装</w:t>
            </w:r>
          </w:p>
        </w:tc>
        <w:tc>
          <w:tcPr>
            <w:tcW w:w="7730"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重新注册软件</w:t>
            </w:r>
          </w:p>
        </w:tc>
      </w:tr>
      <w:tr>
        <w:tblPrEx>
          <w:tblCellMar>
            <w:top w:w="0" w:type="dxa"/>
            <w:left w:w="108" w:type="dxa"/>
            <w:bottom w:w="0" w:type="dxa"/>
            <w:right w:w="108" w:type="dxa"/>
          </w:tblCellMar>
        </w:tblPrEx>
        <w:trPr>
          <w:trHeight w:val="480"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软件安装指导</w:t>
            </w:r>
          </w:p>
        </w:tc>
      </w:tr>
      <w:tr>
        <w:tblPrEx>
          <w:tblCellMar>
            <w:top w:w="0" w:type="dxa"/>
            <w:left w:w="108" w:type="dxa"/>
            <w:bottom w:w="0" w:type="dxa"/>
            <w:right w:w="108" w:type="dxa"/>
          </w:tblCellMar>
        </w:tblPrEx>
        <w:trPr>
          <w:trHeight w:val="480" w:hRule="atLeas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获取同版本软件的安装程序</w:t>
            </w:r>
          </w:p>
        </w:tc>
      </w:tr>
      <w:tr>
        <w:tblPrEx>
          <w:tblCellMar>
            <w:top w:w="0" w:type="dxa"/>
            <w:left w:w="108" w:type="dxa"/>
            <w:bottom w:w="0" w:type="dxa"/>
            <w:right w:w="108" w:type="dxa"/>
          </w:tblCellMar>
        </w:tblPrEx>
        <w:trPr>
          <w:trHeight w:val="48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安装配置</w:t>
            </w: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重装数据库服务器</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重装蓝蜻蜓医院感染监测及数据直报系统</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重装蓝蜻蜓医院感染监测及数据直报系统病历报卡及配置</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重装蓝蜻蜓医院感染监测及数据直报系统接口程序及更新接口配置</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用户自己安装软件时的远程指导</w:t>
            </w:r>
          </w:p>
        </w:tc>
      </w:tr>
      <w:tr>
        <w:tblPrEx>
          <w:tblCellMar>
            <w:top w:w="0" w:type="dxa"/>
            <w:left w:w="108" w:type="dxa"/>
            <w:bottom w:w="0" w:type="dxa"/>
            <w:right w:w="108" w:type="dxa"/>
          </w:tblCellMar>
        </w:tblPrEx>
        <w:trPr>
          <w:trHeight w:val="48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数据安全</w:t>
            </w: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数据库备份，数据库迁移</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数据库自动备份设置及变更</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有数据库备份情况下的系统数据恢复，接口视图恢复</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用户权限设置恢复</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本院科室和医生设置恢复</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本院科室和医生设置批量导入</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接口程序设置检查校正</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接口程序手动恢复数据，数据调试。</w:t>
            </w:r>
          </w:p>
        </w:tc>
      </w:tr>
      <w:tr>
        <w:tblPrEx>
          <w:tblCellMar>
            <w:top w:w="0" w:type="dxa"/>
            <w:left w:w="108" w:type="dxa"/>
            <w:bottom w:w="0" w:type="dxa"/>
            <w:right w:w="108" w:type="dxa"/>
          </w:tblCellMar>
        </w:tblPrEx>
        <w:trPr>
          <w:trHeight w:val="48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常见问题</w:t>
            </w: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软件操作指导</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软件使用强化培训</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基础数据更新调试</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用户权限分配设置</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系统预警设置调整</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用户疑难问题解答</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已上报数据查询</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找回用户密码</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重新注册软件</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更换医院名称</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网上办公系统现患率调查帮助</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报表统计数据异常问题分析查找</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报表统计栏位调整</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接口程序数据导入过慢处理</w:t>
            </w:r>
          </w:p>
        </w:tc>
      </w:tr>
      <w:tr>
        <w:tblPrEx>
          <w:tblCellMar>
            <w:top w:w="0" w:type="dxa"/>
            <w:left w:w="108" w:type="dxa"/>
            <w:bottom w:w="0" w:type="dxa"/>
            <w:right w:w="108" w:type="dxa"/>
          </w:tblCellMar>
        </w:tblPrEx>
        <w:trPr>
          <w:trHeight w:val="24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接口程序不能打开的问题排查</w:t>
            </w:r>
          </w:p>
        </w:tc>
      </w:tr>
      <w:tr>
        <w:tblPrEx>
          <w:tblCellMar>
            <w:top w:w="0" w:type="dxa"/>
            <w:left w:w="108" w:type="dxa"/>
            <w:bottom w:w="0" w:type="dxa"/>
            <w:right w:w="108" w:type="dxa"/>
          </w:tblCellMar>
        </w:tblPrEx>
        <w:trPr>
          <w:trHeight w:val="234" w:hRule="atLeast"/>
        </w:trPr>
        <w:tc>
          <w:tcPr>
            <w:tcW w:w="870"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在软件使用过程中，因工作需要进一步优化的监测项目的完善</w:t>
            </w:r>
          </w:p>
        </w:tc>
      </w:tr>
      <w:tr>
        <w:tblPrEx>
          <w:tblCellMar>
            <w:top w:w="0" w:type="dxa"/>
            <w:left w:w="108" w:type="dxa"/>
            <w:bottom w:w="0" w:type="dxa"/>
            <w:right w:w="108" w:type="dxa"/>
          </w:tblCellMar>
        </w:tblPrEx>
        <w:trPr>
          <w:trHeight w:val="234" w:hRule="atLeast"/>
        </w:trPr>
        <w:tc>
          <w:tcPr>
            <w:tcW w:w="870"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保证系统监测的数据的准确性和稳定性</w:t>
            </w:r>
          </w:p>
        </w:tc>
      </w:tr>
      <w:tr>
        <w:tblPrEx>
          <w:tblCellMar>
            <w:top w:w="0" w:type="dxa"/>
            <w:left w:w="108" w:type="dxa"/>
            <w:bottom w:w="0" w:type="dxa"/>
            <w:right w:w="108" w:type="dxa"/>
          </w:tblCellMar>
        </w:tblPrEx>
        <w:trPr>
          <w:trHeight w:val="480" w:hRule="atLeast"/>
        </w:trPr>
        <w:tc>
          <w:tcPr>
            <w:tcW w:w="87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异常处理</w:t>
            </w: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软件bug问题修复</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网上直报失败的问题处理</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远程服务器连接失败的问题处理</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软件客户端不能打开的问题排查</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由于用户操作不当引起统计结果出现偏差的问题处理</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由于用户操作不当问题引起软件不能正常运行的问题处理</w:t>
            </w:r>
          </w:p>
        </w:tc>
      </w:tr>
      <w:tr>
        <w:tblPrEx>
          <w:tblCellMar>
            <w:top w:w="0" w:type="dxa"/>
            <w:left w:w="108" w:type="dxa"/>
            <w:bottom w:w="0" w:type="dxa"/>
            <w:right w:w="108" w:type="dxa"/>
          </w:tblCellMar>
        </w:tblPrEx>
        <w:trPr>
          <w:trHeight w:val="480" w:hRule="atLeas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p>
        </w:tc>
        <w:tc>
          <w:tcPr>
            <w:tcW w:w="773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0"/>
                <w:sz w:val="28"/>
                <w:szCs w:val="28"/>
              </w:rPr>
            </w:pPr>
            <w:r>
              <w:rPr>
                <w:rFonts w:hint="eastAsia" w:ascii="仿宋" w:hAnsi="仿宋" w:eastAsia="仿宋" w:cs="仿宋"/>
                <w:kern w:val="0"/>
                <w:sz w:val="28"/>
                <w:szCs w:val="28"/>
              </w:rPr>
              <w:t>接口程序数据导入失败问题处理</w:t>
            </w:r>
          </w:p>
        </w:tc>
      </w:tr>
    </w:tbl>
    <w:p>
      <w:pPr>
        <w:spacing w:line="360" w:lineRule="auto"/>
        <w:jc w:val="both"/>
        <w:rPr>
          <w:rFonts w:hint="eastAsia" w:ascii="宋体" w:hAnsi="宋体" w:eastAsia="宋体" w:cs="宋体"/>
          <w:kern w:val="2"/>
          <w:sz w:val="21"/>
          <w:szCs w:val="21"/>
          <w:lang w:val="en-US" w:eastAsia="zh-CN" w:bidi="ar-SA"/>
        </w:rPr>
      </w:pPr>
    </w:p>
    <w:p>
      <w:pPr>
        <w:pBdr>
          <w:bottom w:val="single" w:color="auto" w:sz="4" w:space="1"/>
        </w:pBdr>
        <w:spacing w:before="312" w:beforeLines="100"/>
        <w:ind w:left="420" w:hanging="420"/>
        <w:rPr>
          <w:rFonts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、服务要求（如对人员配置、专业设备、服务标准等）</w:t>
      </w:r>
    </w:p>
    <w:p>
      <w:pPr>
        <w:ind w:firstLine="560" w:firstLineChars="200"/>
        <w:rPr>
          <w:rFonts w:hint="eastAsia"/>
          <w:sz w:val="28"/>
          <w:szCs w:val="28"/>
        </w:rPr>
      </w:pPr>
      <w:r>
        <w:rPr>
          <w:rFonts w:hint="eastAsia"/>
          <w:sz w:val="28"/>
          <w:szCs w:val="28"/>
        </w:rPr>
        <w:t>在合同执行过程中需要服务商应执行的相关服务标准和应当履行的相关义务。</w:t>
      </w:r>
    </w:p>
    <w:p>
      <w:pPr>
        <w:ind w:firstLine="560" w:firstLineChars="200"/>
        <w:rPr>
          <w:rFonts w:hint="eastAsia"/>
          <w:sz w:val="28"/>
          <w:szCs w:val="28"/>
        </w:rPr>
      </w:pPr>
      <w:r>
        <w:rPr>
          <w:rFonts w:hint="eastAsia"/>
          <w:sz w:val="28"/>
          <w:szCs w:val="28"/>
        </w:rPr>
        <w:t>厂商为本项目专门设立售后</w:t>
      </w:r>
      <w:r>
        <w:rPr>
          <w:rFonts w:hint="eastAsia"/>
          <w:sz w:val="28"/>
          <w:szCs w:val="28"/>
          <w:lang w:val="en-US" w:eastAsia="zh-CN"/>
        </w:rPr>
        <w:t>中心</w:t>
      </w:r>
      <w:r>
        <w:rPr>
          <w:rFonts w:hint="eastAsia"/>
          <w:sz w:val="28"/>
          <w:szCs w:val="28"/>
        </w:rPr>
        <w:t>部，在维保期内为系统提供配套的售后技术支持服务；听取我院的意见，并将意见反馈到各相关工作组，根据需要为我院调整系统，提供配套的技术支持服务，主要内容如下：</w:t>
      </w:r>
    </w:p>
    <w:tbl>
      <w:tblPr>
        <w:tblStyle w:val="11"/>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97"/>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6DCE4" w:themeFill="text2" w:themeFillTint="33"/>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497" w:type="dxa"/>
            <w:shd w:val="clear" w:color="auto" w:fill="D6DCE4" w:themeFill="text2" w:themeFillTint="33"/>
            <w:vAlign w:val="center"/>
          </w:tcPr>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服务</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类别</w:t>
            </w:r>
          </w:p>
        </w:tc>
        <w:tc>
          <w:tcPr>
            <w:tcW w:w="6976" w:type="dxa"/>
            <w:shd w:val="clear" w:color="auto" w:fill="D6DCE4" w:themeFill="text2" w:themeFillTint="33"/>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服务能力要求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97" w:type="dxa"/>
            <w:vAlign w:val="center"/>
          </w:tcPr>
          <w:p>
            <w:pPr>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运维保障服务形式和时限</w:t>
            </w:r>
          </w:p>
        </w:tc>
        <w:tc>
          <w:tcPr>
            <w:tcW w:w="6976" w:type="dxa"/>
          </w:tcPr>
          <w:p>
            <w:pPr>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热线支持：指乙方服务人员通过电话向用户提供技术问题解答的过程。</w:t>
            </w:r>
          </w:p>
          <w:p>
            <w:pPr>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远程维护：指乙方通过远程的方式，主要以QQ等远程工具进行远程指导维护。</w:t>
            </w:r>
          </w:p>
          <w:p>
            <w:pPr>
              <w:spacing w:line="360" w:lineRule="auto"/>
              <w:ind w:firstLine="480"/>
              <w:jc w:val="left"/>
              <w:rPr>
                <w:rFonts w:hint="eastAsia" w:ascii="仿宋" w:hAnsi="仿宋" w:eastAsia="仿宋" w:cs="仿宋"/>
                <w:sz w:val="28"/>
                <w:szCs w:val="28"/>
              </w:rPr>
            </w:pPr>
            <w:r>
              <w:rPr>
                <w:rFonts w:hint="eastAsia" w:ascii="仿宋" w:hAnsi="仿宋" w:eastAsia="仿宋" w:cs="仿宋"/>
                <w:sz w:val="28"/>
                <w:szCs w:val="28"/>
              </w:rPr>
              <w:t>现场维护：指乙方派遣技术人员到用户现场处解决问题的过程。（备注：本条款只针对直销客户且远程无法解决的情况下）</w:t>
            </w:r>
          </w:p>
          <w:p>
            <w:pPr>
              <w:spacing w:line="360" w:lineRule="auto"/>
              <w:ind w:firstLine="480"/>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乙方的服务承诺：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乙方接到甲方通过电话，信函，传真，电子邮件等方式提出关于软件的服务请求后，在当日内给予响应。</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乙方提供给甲方的服务，必须按照协议规定的服务内容进行。</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提供软件的安装指导和培训。</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提供原协议中功能清单的维护工作。</w:t>
            </w:r>
          </w:p>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497" w:type="dxa"/>
            <w:vAlign w:val="center"/>
          </w:tcPr>
          <w:p>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运保障服务标准</w:t>
            </w:r>
          </w:p>
        </w:tc>
        <w:tc>
          <w:tcPr>
            <w:tcW w:w="6976" w:type="dxa"/>
          </w:tcPr>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本公司承诺以最快速度响应用户服务需求。24小时电话在线咨询及技术支持：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技术支持联系电话（周一到周五，上午9：00-下午6：00）：客户服务电话：400-178-9899只要您拿起电话，就能获得我们提供的免费 7×24小时售后服务。</w:t>
            </w:r>
          </w:p>
          <w:p>
            <w:pPr>
              <w:rPr>
                <w:rFonts w:hint="eastAsia" w:ascii="仿宋" w:hAnsi="仿宋" w:eastAsia="仿宋" w:cs="仿宋"/>
                <w:sz w:val="28"/>
                <w:szCs w:val="28"/>
              </w:rPr>
            </w:pPr>
            <w:r>
              <w:rPr>
                <w:rFonts w:hint="eastAsia" w:ascii="仿宋" w:hAnsi="仿宋" w:eastAsia="仿宋" w:cs="仿宋"/>
                <w:sz w:val="28"/>
                <w:szCs w:val="28"/>
              </w:rPr>
              <w:t>用户一旦发生问题，可按照常规的方法进行自查；若确认是应用系统的故障，或无法确认，可与项目经理直接联系，由售后服务经理确定问题的性质，调配各方面做出反应。</w:t>
            </w:r>
          </w:p>
        </w:tc>
      </w:tr>
      <w:bookmarkEnd w:id="0"/>
    </w:tbl>
    <w:p>
      <w:pPr>
        <w:rPr>
          <w:rFonts w:hint="eastAsia"/>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C6BD6"/>
    <w:multiLevelType w:val="multilevel"/>
    <w:tmpl w:val="748C6BD6"/>
    <w:lvl w:ilvl="0" w:tentative="0">
      <w:start w:val="1"/>
      <w:numFmt w:val="decimal"/>
      <w:lvlText w:val="%1"/>
      <w:lvlJc w:val="left"/>
      <w:pPr>
        <w:ind w:left="0" w:firstLine="0"/>
      </w:pPr>
      <w:rPr>
        <w:rFonts w:hint="eastAsia"/>
      </w:rPr>
    </w:lvl>
    <w:lvl w:ilvl="1" w:tentative="0">
      <w:start w:val="1"/>
      <w:numFmt w:val="upperLetter"/>
      <w:pStyle w:val="6"/>
      <w:lvlText w:val="%2."/>
      <w:lvlJc w:val="left"/>
      <w:pPr>
        <w:ind w:left="420" w:hanging="420"/>
      </w:pPr>
    </w:lvl>
    <w:lvl w:ilvl="2" w:tentative="0">
      <w:start w:val="1"/>
      <w:numFmt w:val="decimal"/>
      <w:lvlText w:val="%1.%2.%3"/>
      <w:lvlJc w:val="left"/>
      <w:pPr>
        <w:ind w:left="0" w:firstLine="0"/>
      </w:pPr>
      <w:rPr>
        <w:rFonts w:hint="default" w:ascii="Times New Roman" w:hAnsi="Times New Roman" w:cs="Times New Roman"/>
      </w:rPr>
    </w:lvl>
    <w:lvl w:ilvl="3" w:tentative="0">
      <w:start w:val="1"/>
      <w:numFmt w:val="decimal"/>
      <w:lvlText w:val="（%4）"/>
      <w:lvlJc w:val="left"/>
      <w:pPr>
        <w:ind w:left="0" w:firstLine="0"/>
      </w:pPr>
      <w:rPr>
        <w:rFonts w:hint="default" w:ascii="Times New Roman" w:hAnsi="Times New Roman" w:cs="Times New Roman"/>
      </w:rPr>
    </w:lvl>
    <w:lvl w:ilvl="4" w:tentative="0">
      <w:start w:val="1"/>
      <w:numFmt w:val="decimal"/>
      <w:lvlText w:val="%5）"/>
      <w:lvlJc w:val="left"/>
      <w:pPr>
        <w:ind w:left="0" w:firstLine="0"/>
      </w:pPr>
      <w:rPr>
        <w:rFonts w:hint="eastAsia"/>
      </w:rPr>
    </w:lvl>
    <w:lvl w:ilvl="5" w:tentative="0">
      <w:start w:val="1"/>
      <w:numFmt w:val="decimal"/>
      <w:suff w:val="nothing"/>
      <w:lvlText w:val="&lt;%6&gt;"/>
      <w:lvlJc w:val="left"/>
      <w:pPr>
        <w:ind w:left="0" w:firstLine="0"/>
      </w:pPr>
      <w:rPr>
        <w:rFonts w:hint="default" w:ascii="Times New Roman" w:hAnsi="Times New Roman"/>
      </w:rPr>
    </w:lvl>
    <w:lvl w:ilvl="6" w:tentative="0">
      <w:start w:val="1"/>
      <w:numFmt w:val="decimal"/>
      <w:suff w:val="nothing"/>
      <w:lvlText w:val="%7&gt;"/>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OTBjMTQwMzliY2U5YzYzOTk2YTg3M2JmNjRmY2I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2CEA0F2D"/>
    <w:rsid w:val="35B0421A"/>
    <w:rsid w:val="3D5C1616"/>
    <w:rsid w:val="4E03403E"/>
    <w:rsid w:val="6D2A1A6F"/>
    <w:rsid w:val="7CF50DF5"/>
    <w:rsid w:val="7EC1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unhideWhenUsed/>
    <w:qFormat/>
    <w:uiPriority w:val="9"/>
    <w:pPr>
      <w:keepNext/>
      <w:keepLines/>
      <w:numPr>
        <w:ilvl w:val="1"/>
        <w:numId w:val="1"/>
      </w:numPr>
      <w:adjustRightInd w:val="0"/>
      <w:snapToGrid w:val="0"/>
      <w:spacing w:before="100" w:beforeLines="100" w:after="50" w:afterLines="50"/>
      <w:outlineLvl w:val="1"/>
    </w:pPr>
    <w:rPr>
      <w:rFonts w:ascii="Times New Roman" w:hAnsi="Times New Roman" w:eastAsia="黑体" w:cstheme="majorBidi"/>
      <w:b/>
      <w:bCs/>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pPr>
  </w:style>
  <w:style w:type="paragraph" w:styleId="3">
    <w:name w:val="Body Text Indent"/>
    <w:basedOn w:val="1"/>
    <w:next w:val="4"/>
    <w:qFormat/>
    <w:uiPriority w:val="0"/>
    <w:pPr>
      <w:spacing w:after="120"/>
      <w:ind w:left="420" w:leftChars="200"/>
    </w:pPr>
  </w:style>
  <w:style w:type="paragraph" w:styleId="4">
    <w:name w:val="annotation subject"/>
    <w:basedOn w:val="5"/>
    <w:next w:val="1"/>
    <w:link w:val="40"/>
    <w:semiHidden/>
    <w:unhideWhenUsed/>
    <w:qFormat/>
    <w:uiPriority w:val="99"/>
    <w:rPr>
      <w:b/>
      <w:bCs/>
    </w:rPr>
  </w:style>
  <w:style w:type="paragraph" w:styleId="5">
    <w:name w:val="annotation text"/>
    <w:basedOn w:val="1"/>
    <w:link w:val="39"/>
    <w:semiHidden/>
    <w:unhideWhenUsed/>
    <w:qFormat/>
    <w:uiPriority w:val="99"/>
    <w:pPr>
      <w:jc w:val="left"/>
    </w:pPr>
  </w:style>
  <w:style w:type="paragraph" w:styleId="7">
    <w:name w:val="Balloon Text"/>
    <w:basedOn w:val="1"/>
    <w:link w:val="41"/>
    <w:semiHidden/>
    <w:unhideWhenUsed/>
    <w:qFormat/>
    <w:uiPriority w:val="99"/>
    <w:rPr>
      <w:sz w:val="18"/>
      <w:szCs w:val="18"/>
    </w:rPr>
  </w:style>
  <w:style w:type="paragraph" w:styleId="8">
    <w:name w:val="footer"/>
    <w:basedOn w:val="1"/>
    <w:link w:val="38"/>
    <w:unhideWhenUsed/>
    <w:qFormat/>
    <w:uiPriority w:val="99"/>
    <w:pPr>
      <w:tabs>
        <w:tab w:val="center" w:pos="4153"/>
        <w:tab w:val="right" w:pos="8306"/>
      </w:tabs>
      <w:snapToGrid w:val="0"/>
      <w:jc w:val="left"/>
    </w:pPr>
    <w:rPr>
      <w:sz w:val="18"/>
      <w:szCs w:val="18"/>
    </w:rPr>
  </w:style>
  <w:style w:type="paragraph" w:styleId="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5">
    <w:name w:val="※封面大标题"/>
    <w:basedOn w:val="1"/>
    <w:next w:val="1"/>
    <w:qFormat/>
    <w:uiPriority w:val="0"/>
    <w:pPr>
      <w:widowControl/>
      <w:jc w:val="center"/>
    </w:pPr>
    <w:rPr>
      <w:rFonts w:ascii="华文中宋" w:hAnsi="华文中宋" w:eastAsia="华文中宋"/>
      <w:sz w:val="96"/>
      <w:szCs w:val="96"/>
    </w:rPr>
  </w:style>
  <w:style w:type="paragraph" w:customStyle="1" w:styleId="16">
    <w:name w:val="※封面题颌"/>
    <w:basedOn w:val="1"/>
    <w:next w:val="1"/>
    <w:qFormat/>
    <w:uiPriority w:val="0"/>
    <w:pPr>
      <w:widowControl/>
      <w:jc w:val="center"/>
    </w:pPr>
    <w:rPr>
      <w:rFonts w:ascii="Calibri Light" w:hAnsi="Calibri Light" w:eastAsia="华文仿宋"/>
      <w:sz w:val="36"/>
      <w:szCs w:val="36"/>
    </w:rPr>
  </w:style>
  <w:style w:type="paragraph" w:customStyle="1" w:styleId="17">
    <w:name w:val="※封面题眉"/>
    <w:basedOn w:val="1"/>
    <w:next w:val="15"/>
    <w:qFormat/>
    <w:uiPriority w:val="0"/>
    <w:pPr>
      <w:widowControl/>
      <w:jc w:val="center"/>
    </w:pPr>
    <w:rPr>
      <w:rFonts w:ascii="华文仿宋" w:hAnsi="华文仿宋" w:eastAsia="华文仿宋"/>
      <w:sz w:val="52"/>
      <w:szCs w:val="28"/>
    </w:rPr>
  </w:style>
  <w:style w:type="paragraph" w:customStyle="1" w:styleId="18">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9">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0">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1">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2">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3">
    <w:name w:val="※小标题 一"/>
    <w:basedOn w:val="22"/>
    <w:next w:val="22"/>
    <w:qFormat/>
    <w:uiPriority w:val="0"/>
    <w:pPr>
      <w:spacing w:before="120" w:line="240" w:lineRule="auto"/>
      <w:outlineLvl w:val="2"/>
    </w:pPr>
    <w:rPr>
      <w:b/>
      <w:color w:val="203864" w:themeColor="accent5" w:themeShade="80"/>
      <w:sz w:val="32"/>
    </w:rPr>
  </w:style>
  <w:style w:type="paragraph" w:customStyle="1" w:styleId="24">
    <w:name w:val="※小标题（1）"/>
    <w:basedOn w:val="1"/>
    <w:next w:val="22"/>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5">
    <w:name w:val="※小标题（一）"/>
    <w:basedOn w:val="1"/>
    <w:next w:val="22"/>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6">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7">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8">
    <w:name w:val="※页眉"/>
    <w:basedOn w:val="22"/>
    <w:qFormat/>
    <w:uiPriority w:val="0"/>
    <w:pPr>
      <w:pBdr>
        <w:bottom w:val="single" w:color="auto" w:sz="4" w:space="1"/>
      </w:pBdr>
      <w:spacing w:line="240" w:lineRule="atLeast"/>
      <w:jc w:val="right"/>
    </w:pPr>
    <w:rPr>
      <w:rFonts w:ascii="宋体" w:hAnsi="宋体" w:eastAsia="宋体"/>
      <w:sz w:val="18"/>
    </w:rPr>
  </w:style>
  <w:style w:type="paragraph" w:customStyle="1" w:styleId="29">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0">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1">
    <w:name w:val="※章节标题（第Z部分分项）"/>
    <w:basedOn w:val="30"/>
    <w:qFormat/>
    <w:uiPriority w:val="0"/>
    <w:pPr>
      <w:outlineLvl w:val="2"/>
    </w:pPr>
  </w:style>
  <w:style w:type="paragraph" w:customStyle="1" w:styleId="32">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3">
    <w:name w:val="※正文（缩进2）"/>
    <w:basedOn w:val="22"/>
    <w:qFormat/>
    <w:uiPriority w:val="0"/>
    <w:pPr>
      <w:ind w:firstLine="200" w:firstLineChars="200"/>
    </w:pPr>
  </w:style>
  <w:style w:type="paragraph" w:customStyle="1" w:styleId="34">
    <w:name w:val="※正文（缩进4）"/>
    <w:basedOn w:val="22"/>
    <w:qFormat/>
    <w:uiPriority w:val="0"/>
    <w:pPr>
      <w:ind w:firstLine="400" w:firstLineChars="400"/>
    </w:pPr>
  </w:style>
  <w:style w:type="paragraph" w:customStyle="1" w:styleId="35">
    <w:name w:val="样式"/>
    <w:link w:val="36"/>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6">
    <w:name w:val="样式 Char Char"/>
    <w:link w:val="35"/>
    <w:qFormat/>
    <w:locked/>
    <w:uiPriority w:val="0"/>
    <w:rPr>
      <w:rFonts w:ascii="宋体" w:hAnsi="宋体" w:eastAsia="宋体" w:cs="宋体"/>
      <w:kern w:val="0"/>
      <w:sz w:val="24"/>
      <w:szCs w:val="24"/>
    </w:rPr>
  </w:style>
  <w:style w:type="character" w:customStyle="1" w:styleId="37">
    <w:name w:val="页眉 Char"/>
    <w:basedOn w:val="12"/>
    <w:link w:val="9"/>
    <w:qFormat/>
    <w:uiPriority w:val="99"/>
    <w:rPr>
      <w:rFonts w:ascii="Calibri" w:hAnsi="Calibri" w:eastAsia="宋体" w:cs="Times New Roman"/>
      <w:sz w:val="18"/>
      <w:szCs w:val="18"/>
    </w:rPr>
  </w:style>
  <w:style w:type="character" w:customStyle="1" w:styleId="38">
    <w:name w:val="页脚 Char"/>
    <w:basedOn w:val="12"/>
    <w:link w:val="8"/>
    <w:qFormat/>
    <w:uiPriority w:val="99"/>
    <w:rPr>
      <w:rFonts w:ascii="Calibri" w:hAnsi="Calibri" w:eastAsia="宋体" w:cs="Times New Roman"/>
      <w:sz w:val="18"/>
      <w:szCs w:val="18"/>
    </w:rPr>
  </w:style>
  <w:style w:type="character" w:customStyle="1" w:styleId="39">
    <w:name w:val="批注文字 Char"/>
    <w:basedOn w:val="12"/>
    <w:link w:val="5"/>
    <w:semiHidden/>
    <w:qFormat/>
    <w:uiPriority w:val="99"/>
    <w:rPr>
      <w:rFonts w:ascii="Calibri" w:hAnsi="Calibri" w:eastAsia="宋体" w:cs="Times New Roman"/>
    </w:rPr>
  </w:style>
  <w:style w:type="character" w:customStyle="1" w:styleId="40">
    <w:name w:val="批注主题 Char"/>
    <w:basedOn w:val="39"/>
    <w:link w:val="4"/>
    <w:semiHidden/>
    <w:qFormat/>
    <w:uiPriority w:val="99"/>
    <w:rPr>
      <w:rFonts w:ascii="Calibri" w:hAnsi="Calibri" w:eastAsia="宋体" w:cs="Times New Roman"/>
      <w:b/>
      <w:bCs/>
    </w:rPr>
  </w:style>
  <w:style w:type="character" w:customStyle="1" w:styleId="41">
    <w:name w:val="批注框文本 Char"/>
    <w:basedOn w:val="12"/>
    <w:link w:val="7"/>
    <w:semiHidden/>
    <w:qFormat/>
    <w:uiPriority w:val="99"/>
    <w:rPr>
      <w:rFonts w:ascii="Calibri" w:hAnsi="Calibri" w:eastAsia="宋体" w:cs="Times New Roman"/>
      <w:sz w:val="18"/>
      <w:szCs w:val="18"/>
    </w:rPr>
  </w:style>
  <w:style w:type="paragraph" w:styleId="42">
    <w:name w:val="List Paragraph"/>
    <w:basedOn w:val="1"/>
    <w:qFormat/>
    <w:uiPriority w:val="34"/>
    <w:pPr>
      <w:adjustRightInd w:val="0"/>
      <w:snapToGrid w:val="0"/>
      <w:spacing w:beforeLines="25" w:afterLines="25" w:line="300" w:lineRule="auto"/>
      <w:ind w:firstLine="420" w:firstLineChars="200"/>
    </w:pPr>
    <w:rPr>
      <w:rFonts w:ascii="Times New Roman" w:hAnsi="Times New Roman" w:eastAsiaTheme="minorEastAsia" w:cstheme="minorBidi"/>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453</Words>
  <Characters>2585</Characters>
  <Lines>21</Lines>
  <Paragraphs>6</Paragraphs>
  <TotalTime>19</TotalTime>
  <ScaleCrop>false</ScaleCrop>
  <LinksUpToDate>false</LinksUpToDate>
  <CharactersWithSpaces>3032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R o s e</cp:lastModifiedBy>
  <dcterms:modified xsi:type="dcterms:W3CDTF">2024-08-20T01:23:49Z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E908A80CD4514068BD2EA100E318BAC9</vt:lpwstr>
  </property>
</Properties>
</file>